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ADB6FB" w14:textId="23E3C0C9" w:rsidR="00A34AC7" w:rsidRDefault="00A34AC7" w:rsidP="00D9242A">
      <w:pPr>
        <w:shd w:val="clear" w:color="auto" w:fill="FFFFFF"/>
        <w:spacing w:after="0" w:line="240" w:lineRule="auto"/>
        <w:jc w:val="center"/>
        <w:rPr>
          <w:rFonts w:ascii="Roboto" w:eastAsia="Times New Roman" w:hAnsi="Roboto" w:cs="Times New Roman"/>
          <w:color w:val="0A0A0A"/>
          <w:sz w:val="24"/>
          <w:szCs w:val="24"/>
          <w:lang w:eastAsia="en-GB"/>
        </w:rPr>
      </w:pPr>
      <w:r w:rsidRPr="00594F3B">
        <w:rPr>
          <w:rFonts w:ascii="Roboto" w:eastAsia="Times New Roman" w:hAnsi="Roboto" w:cs="Times New Roman"/>
          <w:color w:val="0A0A0A"/>
          <w:sz w:val="24"/>
          <w:szCs w:val="24"/>
          <w:lang w:eastAsia="en-GB"/>
        </w:rPr>
        <w:t xml:space="preserve">The </w:t>
      </w:r>
      <w:r>
        <w:rPr>
          <w:rFonts w:ascii="Roboto" w:eastAsia="Times New Roman" w:hAnsi="Roboto" w:cs="Times New Roman"/>
          <w:color w:val="0A0A0A"/>
          <w:sz w:val="24"/>
          <w:szCs w:val="24"/>
          <w:lang w:eastAsia="en-GB"/>
        </w:rPr>
        <w:t>D</w:t>
      </w:r>
      <w:r w:rsidR="00D9242A">
        <w:rPr>
          <w:rFonts w:ascii="Roboto" w:eastAsia="Times New Roman" w:hAnsi="Roboto" w:cs="Times New Roman"/>
          <w:color w:val="0A0A0A"/>
          <w:sz w:val="24"/>
          <w:szCs w:val="24"/>
          <w:lang w:eastAsia="en-GB"/>
        </w:rPr>
        <w:t xml:space="preserve">raft </w:t>
      </w:r>
      <w:r w:rsidRPr="00594F3B">
        <w:rPr>
          <w:rFonts w:ascii="Roboto" w:eastAsia="Times New Roman" w:hAnsi="Roboto" w:cs="Times New Roman"/>
          <w:color w:val="0A0A0A"/>
          <w:sz w:val="24"/>
          <w:szCs w:val="24"/>
          <w:lang w:eastAsia="en-GB"/>
        </w:rPr>
        <w:t>Buckinghamshire Local Plan</w:t>
      </w:r>
    </w:p>
    <w:p w14:paraId="2F9FE367" w14:textId="77777777" w:rsidR="00D9242A" w:rsidRDefault="00D9242A" w:rsidP="00D9242A">
      <w:pPr>
        <w:shd w:val="clear" w:color="auto" w:fill="FFFFFF"/>
        <w:spacing w:after="0" w:line="240" w:lineRule="auto"/>
        <w:jc w:val="center"/>
        <w:rPr>
          <w:rFonts w:ascii="Roboto" w:eastAsia="Times New Roman" w:hAnsi="Roboto" w:cs="Times New Roman"/>
          <w:color w:val="0A0A0A"/>
          <w:sz w:val="24"/>
          <w:szCs w:val="24"/>
          <w:lang w:eastAsia="en-GB"/>
        </w:rPr>
      </w:pPr>
    </w:p>
    <w:p w14:paraId="439FA3AB" w14:textId="3CBDD553" w:rsidR="00594F3B" w:rsidRPr="00594F3B" w:rsidRDefault="00594F3B" w:rsidP="00594F3B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0A0A0A"/>
          <w:sz w:val="24"/>
          <w:szCs w:val="24"/>
          <w:lang w:eastAsia="en-GB"/>
        </w:rPr>
      </w:pPr>
      <w:r w:rsidRPr="00594F3B">
        <w:rPr>
          <w:rFonts w:ascii="Roboto" w:eastAsia="Times New Roman" w:hAnsi="Roboto" w:cs="Times New Roman"/>
          <w:color w:val="0A0A0A"/>
          <w:sz w:val="24"/>
          <w:szCs w:val="24"/>
          <w:lang w:eastAsia="en-GB"/>
        </w:rPr>
        <w:t>The Buckinghamshire Local Plan recognizes that villages will need to accommodate some growth but emphasizes a "limited expansion" approach to protect their rural character. The draft plan, consulted upon in late 2025, sets out a spatial strategy that directs most significant development to brownfield sites and main towns first. </w:t>
      </w:r>
    </w:p>
    <w:p w14:paraId="33B58EC2" w14:textId="77777777" w:rsidR="00594F3B" w:rsidRDefault="00594F3B" w:rsidP="00594F3B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b/>
          <w:bCs/>
          <w:color w:val="0A0A0A"/>
          <w:sz w:val="24"/>
          <w:szCs w:val="24"/>
          <w:lang w:eastAsia="en-GB"/>
        </w:rPr>
      </w:pPr>
    </w:p>
    <w:p w14:paraId="5E56BBD3" w14:textId="3061D66F" w:rsidR="00594F3B" w:rsidRDefault="00594F3B" w:rsidP="00594F3B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b/>
          <w:bCs/>
          <w:color w:val="0A0A0A"/>
          <w:sz w:val="24"/>
          <w:szCs w:val="24"/>
          <w:lang w:eastAsia="en-GB"/>
        </w:rPr>
      </w:pPr>
      <w:r w:rsidRPr="00594F3B">
        <w:rPr>
          <w:rFonts w:ascii="Roboto" w:eastAsia="Times New Roman" w:hAnsi="Roboto" w:cs="Times New Roman"/>
          <w:b/>
          <w:bCs/>
          <w:color w:val="0A0A0A"/>
          <w:sz w:val="24"/>
          <w:szCs w:val="24"/>
          <w:lang w:eastAsia="en-GB"/>
        </w:rPr>
        <w:t>Guiding principles for villages</w:t>
      </w:r>
    </w:p>
    <w:p w14:paraId="346C3C6A" w14:textId="77777777" w:rsidR="00594F3B" w:rsidRPr="00594F3B" w:rsidRDefault="00594F3B" w:rsidP="00594F3B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b/>
          <w:bCs/>
          <w:color w:val="0A0A0A"/>
          <w:sz w:val="24"/>
          <w:szCs w:val="24"/>
          <w:lang w:eastAsia="en-GB"/>
        </w:rPr>
      </w:pPr>
    </w:p>
    <w:p w14:paraId="40706C49" w14:textId="41F29B56" w:rsidR="00594F3B" w:rsidRDefault="00594F3B" w:rsidP="00594F3B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0A0A0A"/>
          <w:sz w:val="24"/>
          <w:szCs w:val="24"/>
          <w:lang w:eastAsia="en-GB"/>
        </w:rPr>
      </w:pPr>
      <w:r w:rsidRPr="00594F3B">
        <w:rPr>
          <w:rFonts w:ascii="Roboto" w:eastAsia="Times New Roman" w:hAnsi="Roboto" w:cs="Times New Roman"/>
          <w:color w:val="0A0A0A"/>
          <w:sz w:val="24"/>
          <w:szCs w:val="24"/>
          <w:lang w:eastAsia="en-GB"/>
        </w:rPr>
        <w:t>The Draft Local Plan and its supporting documents outline specific principles for the future of Buckinghamshire's small villages:</w:t>
      </w:r>
    </w:p>
    <w:p w14:paraId="133E074A" w14:textId="77777777" w:rsidR="00594F3B" w:rsidRPr="00594F3B" w:rsidRDefault="00594F3B" w:rsidP="00594F3B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0A0A0A"/>
          <w:sz w:val="24"/>
          <w:szCs w:val="24"/>
          <w:lang w:eastAsia="en-GB"/>
        </w:rPr>
      </w:pPr>
    </w:p>
    <w:p w14:paraId="33F7162B" w14:textId="77777777" w:rsidR="00594F3B" w:rsidRPr="00594F3B" w:rsidRDefault="00594F3B" w:rsidP="00594F3B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0A0A0A"/>
          <w:sz w:val="24"/>
          <w:szCs w:val="24"/>
          <w:lang w:eastAsia="en-GB"/>
        </w:rPr>
      </w:pPr>
      <w:r w:rsidRPr="00594F3B">
        <w:rPr>
          <w:rFonts w:ascii="Roboto" w:eastAsia="Times New Roman" w:hAnsi="Roboto" w:cs="Times New Roman"/>
          <w:b/>
          <w:bCs/>
          <w:color w:val="0A0A0A"/>
          <w:sz w:val="24"/>
          <w:szCs w:val="24"/>
          <w:lang w:eastAsia="en-GB"/>
        </w:rPr>
        <w:t>Protection of rural character</w:t>
      </w:r>
      <w:r w:rsidRPr="00594F3B">
        <w:rPr>
          <w:rFonts w:ascii="Roboto" w:eastAsia="Times New Roman" w:hAnsi="Roboto" w:cs="Times New Roman"/>
          <w:color w:val="0A0A0A"/>
          <w:sz w:val="24"/>
          <w:szCs w:val="24"/>
          <w:lang w:eastAsia="en-GB"/>
        </w:rPr>
        <w:t>: A core vision of the plan is to preserve the county's rural and historic character. Significant growth in villages is considered unsustainable and could overwhelm small communities.</w:t>
      </w:r>
    </w:p>
    <w:p w14:paraId="291A4DCF" w14:textId="77777777" w:rsidR="00594F3B" w:rsidRPr="00594F3B" w:rsidRDefault="00594F3B" w:rsidP="00594F3B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0A0A0A"/>
          <w:sz w:val="24"/>
          <w:szCs w:val="24"/>
          <w:lang w:eastAsia="en-GB"/>
        </w:rPr>
      </w:pPr>
      <w:r w:rsidRPr="00594F3B">
        <w:rPr>
          <w:rFonts w:ascii="Roboto" w:eastAsia="Times New Roman" w:hAnsi="Roboto" w:cs="Times New Roman"/>
          <w:b/>
          <w:bCs/>
          <w:color w:val="0A0A0A"/>
          <w:sz w:val="24"/>
          <w:szCs w:val="24"/>
          <w:lang w:eastAsia="en-GB"/>
        </w:rPr>
        <w:t>Limited and sustainable expansion</w:t>
      </w:r>
      <w:r w:rsidRPr="00594F3B">
        <w:rPr>
          <w:rFonts w:ascii="Roboto" w:eastAsia="Times New Roman" w:hAnsi="Roboto" w:cs="Times New Roman"/>
          <w:color w:val="0A0A0A"/>
          <w:sz w:val="24"/>
          <w:szCs w:val="24"/>
          <w:lang w:eastAsia="en-GB"/>
        </w:rPr>
        <w:t>: The plan includes a specific strategy for "Limited Expansion of Villages". This approach prioritizes modest growth in sustainable villages to deliver an estimated 13,000–15,000 homes by 2045.</w:t>
      </w:r>
    </w:p>
    <w:p w14:paraId="7127BE09" w14:textId="77777777" w:rsidR="00594F3B" w:rsidRPr="00594F3B" w:rsidRDefault="00594F3B" w:rsidP="00594F3B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0A0A0A"/>
          <w:sz w:val="24"/>
          <w:szCs w:val="24"/>
          <w:lang w:eastAsia="en-GB"/>
        </w:rPr>
      </w:pPr>
      <w:r w:rsidRPr="00594F3B">
        <w:rPr>
          <w:rFonts w:ascii="Roboto" w:eastAsia="Times New Roman" w:hAnsi="Roboto" w:cs="Times New Roman"/>
          <w:b/>
          <w:bCs/>
          <w:color w:val="0A0A0A"/>
          <w:sz w:val="24"/>
          <w:szCs w:val="24"/>
          <w:lang w:eastAsia="en-GB"/>
        </w:rPr>
        <w:t>Support for local services</w:t>
      </w:r>
      <w:r w:rsidRPr="00594F3B">
        <w:rPr>
          <w:rFonts w:ascii="Roboto" w:eastAsia="Times New Roman" w:hAnsi="Roboto" w:cs="Times New Roman"/>
          <w:color w:val="0A0A0A"/>
          <w:sz w:val="24"/>
          <w:szCs w:val="24"/>
          <w:lang w:eastAsia="en-GB"/>
        </w:rPr>
        <w:t>: The plan cites national planning policy that encourages growth in rural areas to maintain the vitality of local communities and support local services.</w:t>
      </w:r>
    </w:p>
    <w:p w14:paraId="1CB2562F" w14:textId="77777777" w:rsidR="00594F3B" w:rsidRPr="00594F3B" w:rsidRDefault="00594F3B" w:rsidP="00594F3B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0A0A0A"/>
          <w:sz w:val="24"/>
          <w:szCs w:val="24"/>
          <w:lang w:eastAsia="en-GB"/>
        </w:rPr>
      </w:pPr>
      <w:r w:rsidRPr="00594F3B">
        <w:rPr>
          <w:rFonts w:ascii="Roboto" w:eastAsia="Times New Roman" w:hAnsi="Roboto" w:cs="Times New Roman"/>
          <w:b/>
          <w:bCs/>
          <w:color w:val="0A0A0A"/>
          <w:sz w:val="24"/>
          <w:szCs w:val="24"/>
          <w:lang w:eastAsia="en-GB"/>
        </w:rPr>
        <w:t>Rural exception sites</w:t>
      </w:r>
      <w:r w:rsidRPr="00594F3B">
        <w:rPr>
          <w:rFonts w:ascii="Roboto" w:eastAsia="Times New Roman" w:hAnsi="Roboto" w:cs="Times New Roman"/>
          <w:color w:val="0A0A0A"/>
          <w:sz w:val="24"/>
          <w:szCs w:val="24"/>
          <w:lang w:eastAsia="en-GB"/>
        </w:rPr>
        <w:t>: Policies, such as HO9 for Rural Exception Sites, provide for affordable housing to meet local needs, particularly in rural areas.</w:t>
      </w:r>
    </w:p>
    <w:p w14:paraId="00A106BF" w14:textId="77777777" w:rsidR="00594F3B" w:rsidRPr="00594F3B" w:rsidRDefault="00594F3B" w:rsidP="00594F3B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0A0A0A"/>
          <w:sz w:val="24"/>
          <w:szCs w:val="24"/>
          <w:lang w:eastAsia="en-GB"/>
        </w:rPr>
      </w:pPr>
      <w:r w:rsidRPr="00594F3B">
        <w:rPr>
          <w:rFonts w:ascii="Roboto" w:eastAsia="Times New Roman" w:hAnsi="Roboto" w:cs="Times New Roman"/>
          <w:b/>
          <w:bCs/>
          <w:color w:val="0A0A0A"/>
          <w:sz w:val="24"/>
          <w:szCs w:val="24"/>
          <w:lang w:eastAsia="en-GB"/>
        </w:rPr>
        <w:t>Development in the countryside</w:t>
      </w:r>
      <w:r w:rsidRPr="00594F3B">
        <w:rPr>
          <w:rFonts w:ascii="Roboto" w:eastAsia="Times New Roman" w:hAnsi="Roboto" w:cs="Times New Roman"/>
          <w:color w:val="0A0A0A"/>
          <w:sz w:val="24"/>
          <w:szCs w:val="24"/>
          <w:lang w:eastAsia="en-GB"/>
        </w:rPr>
        <w:t>: Specific policies, such as NE17, address development in the countryside outside the Green Belt. This aims to protect landscapes and open spaces while still providing for necessary development.</w:t>
      </w:r>
    </w:p>
    <w:p w14:paraId="3C8C6D4F" w14:textId="77777777" w:rsidR="00594F3B" w:rsidRPr="00594F3B" w:rsidRDefault="00594F3B" w:rsidP="00594F3B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0A0A0A"/>
          <w:sz w:val="24"/>
          <w:szCs w:val="24"/>
          <w:lang w:eastAsia="en-GB"/>
        </w:rPr>
      </w:pPr>
      <w:r w:rsidRPr="00594F3B">
        <w:rPr>
          <w:rFonts w:ascii="Roboto" w:eastAsia="Times New Roman" w:hAnsi="Roboto" w:cs="Times New Roman"/>
          <w:b/>
          <w:bCs/>
          <w:color w:val="0A0A0A"/>
          <w:sz w:val="24"/>
          <w:szCs w:val="24"/>
          <w:lang w:eastAsia="en-GB"/>
        </w:rPr>
        <w:t>Promoting rural businesses</w:t>
      </w:r>
      <w:r w:rsidRPr="00594F3B">
        <w:rPr>
          <w:rFonts w:ascii="Roboto" w:eastAsia="Times New Roman" w:hAnsi="Roboto" w:cs="Times New Roman"/>
          <w:color w:val="0A0A0A"/>
          <w:sz w:val="24"/>
          <w:szCs w:val="24"/>
          <w:lang w:eastAsia="en-GB"/>
        </w:rPr>
        <w:t>: The plan contains policies to support local businesses and promote rural diversification, including tourism, to help villages thrive. </w:t>
      </w:r>
    </w:p>
    <w:p w14:paraId="486D8735" w14:textId="77777777" w:rsidR="00594F3B" w:rsidRDefault="00594F3B" w:rsidP="00594F3B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b/>
          <w:bCs/>
          <w:color w:val="0A0A0A"/>
          <w:sz w:val="24"/>
          <w:szCs w:val="24"/>
          <w:lang w:eastAsia="en-GB"/>
        </w:rPr>
      </w:pPr>
    </w:p>
    <w:p w14:paraId="724A31B6" w14:textId="4DAA5B94" w:rsidR="00594F3B" w:rsidRDefault="00594F3B" w:rsidP="00594F3B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b/>
          <w:bCs/>
          <w:color w:val="0A0A0A"/>
          <w:sz w:val="24"/>
          <w:szCs w:val="24"/>
          <w:lang w:eastAsia="en-GB"/>
        </w:rPr>
      </w:pPr>
      <w:r w:rsidRPr="00594F3B">
        <w:rPr>
          <w:rFonts w:ascii="Roboto" w:eastAsia="Times New Roman" w:hAnsi="Roboto" w:cs="Times New Roman"/>
          <w:b/>
          <w:bCs/>
          <w:color w:val="0A0A0A"/>
          <w:sz w:val="24"/>
          <w:szCs w:val="24"/>
          <w:lang w:eastAsia="en-GB"/>
        </w:rPr>
        <w:t>How development can occur in villages</w:t>
      </w:r>
    </w:p>
    <w:p w14:paraId="1B88115D" w14:textId="77777777" w:rsidR="00594F3B" w:rsidRPr="00594F3B" w:rsidRDefault="00594F3B" w:rsidP="00594F3B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b/>
          <w:bCs/>
          <w:color w:val="0A0A0A"/>
          <w:sz w:val="24"/>
          <w:szCs w:val="24"/>
          <w:lang w:eastAsia="en-GB"/>
        </w:rPr>
      </w:pPr>
    </w:p>
    <w:p w14:paraId="2361F965" w14:textId="4E0ED308" w:rsidR="00594F3B" w:rsidRDefault="00594F3B" w:rsidP="00594F3B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0A0A0A"/>
          <w:sz w:val="24"/>
          <w:szCs w:val="24"/>
          <w:lang w:eastAsia="en-GB"/>
        </w:rPr>
      </w:pPr>
      <w:r w:rsidRPr="00594F3B">
        <w:rPr>
          <w:rFonts w:ascii="Roboto" w:eastAsia="Times New Roman" w:hAnsi="Roboto" w:cs="Times New Roman"/>
          <w:color w:val="0A0A0A"/>
          <w:sz w:val="24"/>
          <w:szCs w:val="24"/>
          <w:lang w:eastAsia="en-GB"/>
        </w:rPr>
        <w:t>The Local Plan provides for growth in villages through several mechanisms:</w:t>
      </w:r>
    </w:p>
    <w:p w14:paraId="29C2C73A" w14:textId="77777777" w:rsidR="00594F3B" w:rsidRPr="00594F3B" w:rsidRDefault="00594F3B" w:rsidP="00594F3B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0A0A0A"/>
          <w:sz w:val="24"/>
          <w:szCs w:val="24"/>
          <w:lang w:eastAsia="en-GB"/>
        </w:rPr>
      </w:pPr>
    </w:p>
    <w:p w14:paraId="00A96F49" w14:textId="77777777" w:rsidR="00594F3B" w:rsidRPr="00594F3B" w:rsidRDefault="00594F3B" w:rsidP="00594F3B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0A0A0A"/>
          <w:sz w:val="24"/>
          <w:szCs w:val="24"/>
          <w:lang w:eastAsia="en-GB"/>
        </w:rPr>
      </w:pPr>
      <w:r w:rsidRPr="00594F3B">
        <w:rPr>
          <w:rFonts w:ascii="Roboto" w:eastAsia="Times New Roman" w:hAnsi="Roboto" w:cs="Times New Roman"/>
          <w:b/>
          <w:bCs/>
          <w:color w:val="0A0A0A"/>
          <w:sz w:val="24"/>
          <w:szCs w:val="24"/>
          <w:lang w:eastAsia="en-GB"/>
        </w:rPr>
        <w:t>Brownfield sites</w:t>
      </w:r>
      <w:r w:rsidRPr="00594F3B">
        <w:rPr>
          <w:rFonts w:ascii="Roboto" w:eastAsia="Times New Roman" w:hAnsi="Roboto" w:cs="Times New Roman"/>
          <w:color w:val="0A0A0A"/>
          <w:sz w:val="24"/>
          <w:szCs w:val="24"/>
          <w:lang w:eastAsia="en-GB"/>
        </w:rPr>
        <w:t>: Like towns, villages will see development on underused urban and brownfield land first, where possible.</w:t>
      </w:r>
    </w:p>
    <w:p w14:paraId="7F1F03F4" w14:textId="77777777" w:rsidR="00594F3B" w:rsidRPr="00594F3B" w:rsidRDefault="00594F3B" w:rsidP="00594F3B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0A0A0A"/>
          <w:sz w:val="24"/>
          <w:szCs w:val="24"/>
          <w:lang w:eastAsia="en-GB"/>
        </w:rPr>
      </w:pPr>
      <w:r w:rsidRPr="00594F3B">
        <w:rPr>
          <w:rFonts w:ascii="Roboto" w:eastAsia="Times New Roman" w:hAnsi="Roboto" w:cs="Times New Roman"/>
          <w:b/>
          <w:bCs/>
          <w:color w:val="0A0A0A"/>
          <w:sz w:val="24"/>
          <w:szCs w:val="24"/>
          <w:lang w:eastAsia="en-GB"/>
        </w:rPr>
        <w:t>Neighbourhood plans</w:t>
      </w:r>
      <w:r w:rsidRPr="00594F3B">
        <w:rPr>
          <w:rFonts w:ascii="Roboto" w:eastAsia="Times New Roman" w:hAnsi="Roboto" w:cs="Times New Roman"/>
          <w:color w:val="0A0A0A"/>
          <w:sz w:val="24"/>
          <w:szCs w:val="24"/>
          <w:lang w:eastAsia="en-GB"/>
        </w:rPr>
        <w:t>: Communities can create their own Neighbourhood Development Plans to guide local growth. However, these plans must not propose a lower level of housing growth than the overall targets set in the Local Plan.</w:t>
      </w:r>
    </w:p>
    <w:p w14:paraId="63E7AFEF" w14:textId="77777777" w:rsidR="00594F3B" w:rsidRPr="00594F3B" w:rsidRDefault="00594F3B" w:rsidP="00594F3B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0A0A0A"/>
          <w:sz w:val="24"/>
          <w:szCs w:val="24"/>
          <w:lang w:eastAsia="en-GB"/>
        </w:rPr>
      </w:pPr>
      <w:r w:rsidRPr="00594F3B">
        <w:rPr>
          <w:rFonts w:ascii="Roboto" w:eastAsia="Times New Roman" w:hAnsi="Roboto" w:cs="Times New Roman"/>
          <w:b/>
          <w:bCs/>
          <w:color w:val="0A0A0A"/>
          <w:sz w:val="24"/>
          <w:szCs w:val="24"/>
          <w:lang w:eastAsia="en-GB"/>
        </w:rPr>
        <w:t>Small-scale sites</w:t>
      </w:r>
      <w:r w:rsidRPr="00594F3B">
        <w:rPr>
          <w:rFonts w:ascii="Roboto" w:eastAsia="Times New Roman" w:hAnsi="Roboto" w:cs="Times New Roman"/>
          <w:color w:val="0A0A0A"/>
          <w:sz w:val="24"/>
          <w:szCs w:val="24"/>
          <w:lang w:eastAsia="en-GB"/>
        </w:rPr>
        <w:t>: The council has promoted "call for sites" exercises to identify small-scale employment and housing sites in rural areas. </w:t>
      </w:r>
    </w:p>
    <w:p w14:paraId="7DEB2B8C" w14:textId="77777777" w:rsidR="00594F3B" w:rsidRDefault="00594F3B" w:rsidP="00594F3B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b/>
          <w:bCs/>
          <w:color w:val="0A0A0A"/>
          <w:sz w:val="24"/>
          <w:szCs w:val="24"/>
          <w:lang w:eastAsia="en-GB"/>
        </w:rPr>
      </w:pPr>
    </w:p>
    <w:p w14:paraId="4413AF61" w14:textId="77777777" w:rsidR="008F3F30" w:rsidRDefault="008F3F30" w:rsidP="00594F3B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b/>
          <w:bCs/>
          <w:color w:val="0A0A0A"/>
          <w:sz w:val="24"/>
          <w:szCs w:val="24"/>
          <w:lang w:eastAsia="en-GB"/>
        </w:rPr>
      </w:pPr>
    </w:p>
    <w:p w14:paraId="38212E43" w14:textId="54610B48" w:rsidR="00796CF9" w:rsidRPr="00D9242A" w:rsidRDefault="008F3F30" w:rsidP="00D9242A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b/>
          <w:bCs/>
          <w:color w:val="0A0A0A"/>
          <w:sz w:val="24"/>
          <w:szCs w:val="24"/>
          <w:lang w:eastAsia="en-GB"/>
        </w:rPr>
      </w:pPr>
      <w:r w:rsidRPr="008F3F30">
        <w:rPr>
          <w:rFonts w:ascii="Roboto" w:eastAsia="Times New Roman" w:hAnsi="Roboto" w:cs="Times New Roman"/>
          <w:b/>
          <w:bCs/>
          <w:color w:val="0A0A0A"/>
          <w:sz w:val="24"/>
          <w:szCs w:val="24"/>
          <w:lang w:eastAsia="en-GB"/>
        </w:rPr>
        <w:t>According to the draft Local Plan for Buckinghamshire, the parish of Ludgershall is a site for a new biodiversity net gain habitat bank and could see limited, small-scale village expansion. The plan outlines a county-wide approach to development, with a focus on sustainable growth, environmental protection, and infrastructure.</w:t>
      </w:r>
    </w:p>
    <w:sectPr w:rsidR="00796CF9" w:rsidRPr="00D9242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B2646E0"/>
    <w:multiLevelType w:val="multilevel"/>
    <w:tmpl w:val="AAF286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E6B1357"/>
    <w:multiLevelType w:val="multilevel"/>
    <w:tmpl w:val="4DC4E7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73708917">
    <w:abstractNumId w:val="1"/>
  </w:num>
  <w:num w:numId="2" w16cid:durableId="20879896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4F3B"/>
    <w:rsid w:val="00594F3B"/>
    <w:rsid w:val="005E563B"/>
    <w:rsid w:val="00796CF9"/>
    <w:rsid w:val="008F3F30"/>
    <w:rsid w:val="00A34AC7"/>
    <w:rsid w:val="00AB3541"/>
    <w:rsid w:val="00D92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09365A"/>
  <w15:chartTrackingRefBased/>
  <w15:docId w15:val="{8C401FD1-A917-43CD-9937-DE31E8B510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31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73924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499851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277205">
          <w:marLeft w:val="0"/>
          <w:marRight w:val="0"/>
          <w:marTop w:val="1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35575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443554">
          <w:marLeft w:val="0"/>
          <w:marRight w:val="0"/>
          <w:marTop w:val="1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205965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813427">
          <w:marLeft w:val="0"/>
          <w:marRight w:val="0"/>
          <w:marTop w:val="1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392</Words>
  <Characters>2240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Lewin</dc:creator>
  <cp:keywords/>
  <dc:description/>
  <cp:lastModifiedBy>Christine Lewin</cp:lastModifiedBy>
  <cp:revision>4</cp:revision>
  <cp:lastPrinted>2025-10-29T17:16:00Z</cp:lastPrinted>
  <dcterms:created xsi:type="dcterms:W3CDTF">2025-10-29T17:03:00Z</dcterms:created>
  <dcterms:modified xsi:type="dcterms:W3CDTF">2026-02-03T22:35:00Z</dcterms:modified>
</cp:coreProperties>
</file>